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9071A6" w14:textId="49800E04" w:rsidR="000A2DF7" w:rsidRDefault="000A2DF7">
      <w:r>
        <w:t>Radical Labour</w:t>
      </w:r>
    </w:p>
    <w:p w14:paraId="4CE331E4" w14:textId="77777777" w:rsidR="000A2DF7" w:rsidRDefault="000A2DF7"/>
    <w:p w14:paraId="7278EAEC" w14:textId="77777777" w:rsidR="00055AB7" w:rsidRDefault="003529F6">
      <w:r>
        <w:t>Socialist theses on the Human Rights Act</w:t>
      </w:r>
    </w:p>
    <w:p w14:paraId="23D961A9" w14:textId="77777777" w:rsidR="003529F6" w:rsidRDefault="003529F6"/>
    <w:p w14:paraId="65846908" w14:textId="77777777" w:rsidR="003529F6" w:rsidRDefault="003529F6">
      <w:r>
        <w:t>Bill Bowring</w:t>
      </w:r>
    </w:p>
    <w:p w14:paraId="23BE538A" w14:textId="77777777" w:rsidR="003529F6" w:rsidRDefault="003529F6"/>
    <w:p w14:paraId="4255C125" w14:textId="2F51CD26" w:rsidR="00EC08FC" w:rsidRDefault="00EC08FC" w:rsidP="001D49B2">
      <w:pPr>
        <w:pStyle w:val="ListParagraph"/>
        <w:numPr>
          <w:ilvl w:val="0"/>
          <w:numId w:val="2"/>
        </w:numPr>
        <w:spacing w:before="120" w:line="360" w:lineRule="auto"/>
        <w:ind w:left="851" w:hanging="851"/>
        <w:contextualSpacing w:val="0"/>
      </w:pPr>
      <w:r>
        <w:t>Why should socialists oppose the replacement of the Human Rights Act 1998 by a “British Bill of Rights”</w:t>
      </w:r>
      <w:r w:rsidR="00646D26">
        <w:t xml:space="preserve">, and the possible withdrawal from the European Convention and </w:t>
      </w:r>
      <w:r w:rsidR="002A4E6F">
        <w:t xml:space="preserve">European </w:t>
      </w:r>
      <w:r w:rsidR="00646D26">
        <w:t>Court of Human Rights</w:t>
      </w:r>
      <w:r>
        <w:t>?</w:t>
      </w:r>
      <w:r w:rsidR="002A4E6F">
        <w:t xml:space="preserve"> Especially when the Convention and Court are inherently conservative?</w:t>
      </w:r>
    </w:p>
    <w:p w14:paraId="5797A3BB" w14:textId="6D42C0FB" w:rsidR="00786A25" w:rsidRDefault="0070220B" w:rsidP="001D49B2">
      <w:pPr>
        <w:pStyle w:val="ListParagraph"/>
        <w:numPr>
          <w:ilvl w:val="0"/>
          <w:numId w:val="2"/>
        </w:numPr>
        <w:spacing w:before="120" w:line="360" w:lineRule="auto"/>
        <w:ind w:left="851" w:hanging="851"/>
        <w:contextualSpacing w:val="0"/>
      </w:pPr>
      <w:r>
        <w:t>T</w:t>
      </w:r>
      <w:r w:rsidR="00646D26">
        <w:t xml:space="preserve">he </w:t>
      </w:r>
      <w:r w:rsidR="003529F6">
        <w:t>Council of Europe</w:t>
      </w:r>
      <w:r>
        <w:t>,</w:t>
      </w:r>
      <w:r w:rsidR="00646D26">
        <w:t xml:space="preserve"> </w:t>
      </w:r>
      <w:r>
        <w:t xml:space="preserve">of </w:t>
      </w:r>
      <w:r w:rsidR="00646D26">
        <w:t>which</w:t>
      </w:r>
      <w:r w:rsidR="003529F6">
        <w:t xml:space="preserve"> </w:t>
      </w:r>
      <w:r>
        <w:t xml:space="preserve">the Convention and Court are part, </w:t>
      </w:r>
      <w:r w:rsidR="003529F6">
        <w:t>was from its creation a conservative organisation. Winston Churchill first called for a Council of Europe in a speech in March 1943 and with Konrad Adenauer, Robert Schuman</w:t>
      </w:r>
      <w:r w:rsidR="00786A25">
        <w:t xml:space="preserve"> and Ernest Bevin helped create the organisation in 1949.</w:t>
      </w:r>
      <w:r w:rsidR="001D49B2">
        <w:t xml:space="preserve"> Its purpose was the solidarity of the 10 founding Western European </w:t>
      </w:r>
      <w:r w:rsidR="00EC08FC">
        <w:t>countries</w:t>
      </w:r>
      <w:r w:rsidR="00A44435">
        <w:t xml:space="preserve"> against the USSR and Warsaw Pact states.</w:t>
      </w:r>
    </w:p>
    <w:p w14:paraId="6D3055C3" w14:textId="6ED90FE1" w:rsidR="00A44435" w:rsidRDefault="00646D26" w:rsidP="003529F6">
      <w:pPr>
        <w:pStyle w:val="ListParagraph"/>
        <w:numPr>
          <w:ilvl w:val="0"/>
          <w:numId w:val="2"/>
        </w:numPr>
        <w:spacing w:before="120" w:line="360" w:lineRule="auto"/>
        <w:ind w:left="851" w:hanging="851"/>
        <w:contextualSpacing w:val="0"/>
      </w:pPr>
      <w:r>
        <w:t>The Council of Europe</w:t>
      </w:r>
      <w:r w:rsidR="00A44435">
        <w:t xml:space="preserve"> was the ideological counterpart of NATO, and its “three pillars” were and are human rights (the protection of individual human rights), democracy (multi-party democracy), and the rule of law. </w:t>
      </w:r>
      <w:r w:rsidR="00EC08FC">
        <w:t>Social and economic rights were not recognised by the Council of Europe until 1961.</w:t>
      </w:r>
      <w:r>
        <w:t xml:space="preserve"> The UK still refuses to implement the Revised Social Charter </w:t>
      </w:r>
      <w:r w:rsidR="00626FF4">
        <w:t xml:space="preserve">1996 (into force in 1999) </w:t>
      </w:r>
      <w:r>
        <w:t>which allows for collective com</w:t>
      </w:r>
      <w:r w:rsidR="000A2DF7">
        <w:t>plaints by trade unions and others</w:t>
      </w:r>
      <w:r>
        <w:t xml:space="preserve"> to the European Committee of Social Rights.</w:t>
      </w:r>
      <w:r w:rsidR="00626FF4">
        <w:t xml:space="preserve"> </w:t>
      </w:r>
    </w:p>
    <w:p w14:paraId="34F2604F" w14:textId="77777777" w:rsidR="0070220B" w:rsidRDefault="003529F6" w:rsidP="003529F6">
      <w:pPr>
        <w:pStyle w:val="ListParagraph"/>
        <w:numPr>
          <w:ilvl w:val="0"/>
          <w:numId w:val="2"/>
        </w:numPr>
        <w:spacing w:before="120" w:line="360" w:lineRule="auto"/>
        <w:ind w:left="851" w:hanging="851"/>
        <w:contextualSpacing w:val="0"/>
      </w:pPr>
      <w:r>
        <w:t xml:space="preserve">The European Convention on Human Rights is a conservative document, drafted by </w:t>
      </w:r>
      <w:r w:rsidR="00646D26">
        <w:t xml:space="preserve">British </w:t>
      </w:r>
      <w:r>
        <w:t xml:space="preserve">conservative lawyers. </w:t>
      </w:r>
      <w:r w:rsidR="00646D26">
        <w:t xml:space="preserve">It protects individual civil and political rights of the kind criticised by Karl Marx in 1843 in “On the Jewish Question”. </w:t>
      </w:r>
    </w:p>
    <w:p w14:paraId="6F712B86" w14:textId="1CE23D88" w:rsidR="003529F6" w:rsidRDefault="003529F6" w:rsidP="003529F6">
      <w:pPr>
        <w:pStyle w:val="ListParagraph"/>
        <w:numPr>
          <w:ilvl w:val="0"/>
          <w:numId w:val="2"/>
        </w:numPr>
        <w:spacing w:before="120" w:line="360" w:lineRule="auto"/>
        <w:ind w:left="851" w:hanging="851"/>
        <w:contextualSpacing w:val="0"/>
      </w:pPr>
      <w:r>
        <w:t>The European Court of Human Rights is a conservative</w:t>
      </w:r>
      <w:r w:rsidR="00EC08FC">
        <w:t xml:space="preserve"> court, which allows the 47 member states a considerable “margin of appreciation”. Judgments of the Court are binding only on the member state against which they are delivered, and </w:t>
      </w:r>
      <w:r w:rsidR="00646D26">
        <w:t xml:space="preserve">enforcement of </w:t>
      </w:r>
      <w:r w:rsidR="00EC08FC">
        <w:t>judgments</w:t>
      </w:r>
      <w:r w:rsidR="00646D26">
        <w:t xml:space="preserve"> is left to</w:t>
      </w:r>
      <w:r w:rsidR="00EC08FC">
        <w:t xml:space="preserve"> the Committee of (Foreign) Ministers</w:t>
      </w:r>
      <w:r w:rsidR="00646D26">
        <w:t xml:space="preserve"> of all 47 members</w:t>
      </w:r>
      <w:r w:rsidR="00EC08FC">
        <w:t>.</w:t>
      </w:r>
      <w:r w:rsidR="00646D26">
        <w:t xml:space="preserve"> States always pay </w:t>
      </w:r>
      <w:r w:rsidR="00993AE3">
        <w:t xml:space="preserve">the </w:t>
      </w:r>
      <w:r w:rsidR="00646D26">
        <w:t xml:space="preserve">financial compensation ordered, but as with the political murders and “shoot to kill” in Northern Ireland, many violations remain unresolved. </w:t>
      </w:r>
      <w:r w:rsidR="00EC08FC">
        <w:t xml:space="preserve"> </w:t>
      </w:r>
    </w:p>
    <w:p w14:paraId="2472E1FF" w14:textId="30F6745B" w:rsidR="00F770C6" w:rsidRDefault="00F770C6" w:rsidP="003529F6">
      <w:pPr>
        <w:pStyle w:val="ListParagraph"/>
        <w:numPr>
          <w:ilvl w:val="0"/>
          <w:numId w:val="2"/>
        </w:numPr>
        <w:spacing w:before="120" w:line="360" w:lineRule="auto"/>
        <w:ind w:left="851" w:hanging="851"/>
        <w:contextualSpacing w:val="0"/>
      </w:pPr>
      <w:r>
        <w:t>In</w:t>
      </w:r>
      <w:r w:rsidR="000A2DF7">
        <w:t>deed, the UK has lost comparatively</w:t>
      </w:r>
      <w:r>
        <w:t xml:space="preserve"> few cases at Strasbourg. Many judgments </w:t>
      </w:r>
      <w:r w:rsidR="00993AE3">
        <w:t xml:space="preserve">against the UK </w:t>
      </w:r>
      <w:r>
        <w:t xml:space="preserve">concerned the conflict in Northern Ireland, and since 2000 when UK </w:t>
      </w:r>
      <w:r>
        <w:lastRenderedPageBreak/>
        <w:t>judges have been able to take account of Convention rights there have been fewer still.</w:t>
      </w:r>
    </w:p>
    <w:p w14:paraId="0CBED152" w14:textId="5CE9773E" w:rsidR="0070220B" w:rsidRDefault="0070220B" w:rsidP="003529F6">
      <w:pPr>
        <w:pStyle w:val="ListParagraph"/>
        <w:numPr>
          <w:ilvl w:val="0"/>
          <w:numId w:val="2"/>
        </w:numPr>
        <w:spacing w:before="120" w:line="360" w:lineRule="auto"/>
        <w:ind w:left="851" w:hanging="851"/>
        <w:contextualSpacing w:val="0"/>
      </w:pPr>
      <w:r>
        <w:t>The Human Rights Act 1998 does not make the Convention part of UK law. It simply requires the UK courts to take account of it, and gives the UK judges no power to overturn legislation. The HRA is designed to preserve parliamentary sovereignty</w:t>
      </w:r>
      <w:r w:rsidR="00993AE3">
        <w:t xml:space="preserve">, and under the HRA the UK government may </w:t>
      </w:r>
      <w:r w:rsidR="000A2DF7">
        <w:t xml:space="preserve">lawfully </w:t>
      </w:r>
      <w:r w:rsidR="00993AE3">
        <w:t>use its parliamentary majority to defy the Convention.</w:t>
      </w:r>
    </w:p>
    <w:p w14:paraId="639FB7C7" w14:textId="0D54387E" w:rsidR="003529F6" w:rsidRDefault="00646D26" w:rsidP="003529F6">
      <w:pPr>
        <w:pStyle w:val="ListParagraph"/>
        <w:numPr>
          <w:ilvl w:val="0"/>
          <w:numId w:val="2"/>
        </w:numPr>
        <w:spacing w:before="120" w:line="360" w:lineRule="auto"/>
        <w:ind w:left="851" w:hanging="851"/>
        <w:contextualSpacing w:val="0"/>
      </w:pPr>
      <w:r>
        <w:t>Why then are Conserv</w:t>
      </w:r>
      <w:r w:rsidR="0070220B">
        <w:t>at</w:t>
      </w:r>
      <w:r w:rsidR="0062385B">
        <w:t xml:space="preserve">ives so bitterly opposed to the HRA, and </w:t>
      </w:r>
      <w:r w:rsidR="00993AE3">
        <w:t xml:space="preserve">so </w:t>
      </w:r>
      <w:r w:rsidR="0062385B">
        <w:t>many of them to the Convention itself</w:t>
      </w:r>
      <w:r>
        <w:t>?</w:t>
      </w:r>
    </w:p>
    <w:p w14:paraId="08AA06A3" w14:textId="0235402F" w:rsidR="00646D26" w:rsidRDefault="00646D26" w:rsidP="003529F6">
      <w:pPr>
        <w:pStyle w:val="ListParagraph"/>
        <w:numPr>
          <w:ilvl w:val="0"/>
          <w:numId w:val="2"/>
        </w:numPr>
        <w:spacing w:before="120" w:line="360" w:lineRule="auto"/>
        <w:ind w:left="851" w:hanging="851"/>
        <w:contextualSpacing w:val="0"/>
      </w:pPr>
      <w:r>
        <w:t>To understand this we have to go back to the 18</w:t>
      </w:r>
      <w:r w:rsidRPr="00646D26">
        <w:rPr>
          <w:vertAlign w:val="superscript"/>
        </w:rPr>
        <w:t>th</w:t>
      </w:r>
      <w:r>
        <w:t xml:space="preserve"> century and the French Revolution. </w:t>
      </w:r>
      <w:r w:rsidR="00232DC2">
        <w:t xml:space="preserve">The </w:t>
      </w:r>
      <w:r w:rsidR="00232DC2">
        <w:rPr>
          <w:i/>
        </w:rPr>
        <w:t>Déclaration des Droits de l’Homme et du Citoyen</w:t>
      </w:r>
      <w:r w:rsidR="00993AE3">
        <w:t xml:space="preserve"> of 1789 was</w:t>
      </w:r>
      <w:r w:rsidR="00232DC2">
        <w:t xml:space="preserve"> the</w:t>
      </w:r>
      <w:r w:rsidR="006C5BC5">
        <w:t xml:space="preserve"> crowning achievement of the</w:t>
      </w:r>
      <w:r w:rsidR="00232DC2">
        <w:t xml:space="preserve"> first years of the Revolution, and a direct challenge to Royal absolutism</w:t>
      </w:r>
      <w:r w:rsidR="00993AE3">
        <w:t>, and a scandal for all the monarchies of Europe</w:t>
      </w:r>
      <w:r w:rsidR="00232DC2">
        <w:t>.</w:t>
      </w:r>
    </w:p>
    <w:p w14:paraId="024991DB" w14:textId="3E76E42F" w:rsidR="00494770" w:rsidRDefault="00494770" w:rsidP="00494770">
      <w:pPr>
        <w:pStyle w:val="ListParagraph"/>
        <w:numPr>
          <w:ilvl w:val="0"/>
          <w:numId w:val="2"/>
        </w:numPr>
        <w:spacing w:before="120" w:line="360" w:lineRule="auto"/>
        <w:ind w:left="851" w:hanging="851"/>
        <w:contextualSpacing w:val="0"/>
      </w:pPr>
      <w:r>
        <w:t xml:space="preserve">Edmund Burke (1729-1797), the intellectual father of British conservatism, wrote in his </w:t>
      </w:r>
      <w:r w:rsidRPr="00494770">
        <w:rPr>
          <w:i/>
        </w:rPr>
        <w:t>Reflections on the Revolution in France</w:t>
      </w:r>
      <w:r>
        <w:t xml:space="preserve"> (1790):</w:t>
      </w:r>
    </w:p>
    <w:p w14:paraId="1221E177" w14:textId="5B6D1F01" w:rsidR="00232DC2" w:rsidRDefault="00494770" w:rsidP="00494770">
      <w:pPr>
        <w:pStyle w:val="ListParagraph"/>
        <w:spacing w:before="120"/>
        <w:ind w:left="1440"/>
        <w:contextualSpacing w:val="0"/>
      </w:pPr>
      <w:r>
        <w:t>“Whilst they are possessed by these notions, it is vain to talk to them of the practice of their ancestors, the fundamental laws of their country, the fixed form of a constitution whose merits are confirmed by the solid test of long experience and an increasing public strength and national prosperity. They despise experience as the wisdom of unlettered men; and as for the rest, they have wrought underground a mine that will blow up, at one grand explosion, all examples of antiquity, all precedents, charters, and acts of parliament. They have "the rights of men". . . .”.</w:t>
      </w:r>
    </w:p>
    <w:p w14:paraId="16822FD3" w14:textId="77777777" w:rsidR="00DD4A5D" w:rsidRDefault="003529F6" w:rsidP="003529F6">
      <w:pPr>
        <w:pStyle w:val="ListParagraph"/>
        <w:numPr>
          <w:ilvl w:val="0"/>
          <w:numId w:val="2"/>
        </w:numPr>
        <w:spacing w:before="120" w:line="360" w:lineRule="auto"/>
        <w:ind w:left="851" w:hanging="851"/>
        <w:contextualSpacing w:val="0"/>
      </w:pPr>
      <w:r>
        <w:t>T</w:t>
      </w:r>
      <w:r w:rsidR="00494770">
        <w:t xml:space="preserve">hat is, Burke considered the </w:t>
      </w:r>
      <w:r w:rsidR="00494770">
        <w:rPr>
          <w:i/>
        </w:rPr>
        <w:t>Déclaration</w:t>
      </w:r>
      <w:r w:rsidR="00494770">
        <w:t xml:space="preserve"> to be intellectual terrorism. His pamphlet sold 30,000 copies.</w:t>
      </w:r>
    </w:p>
    <w:p w14:paraId="27CED50E" w14:textId="31B09CBF" w:rsidR="00494770" w:rsidRDefault="00494770" w:rsidP="003529F6">
      <w:pPr>
        <w:pStyle w:val="ListParagraph"/>
        <w:numPr>
          <w:ilvl w:val="0"/>
          <w:numId w:val="2"/>
        </w:numPr>
        <w:spacing w:before="120" w:line="360" w:lineRule="auto"/>
        <w:ind w:left="851" w:hanging="851"/>
        <w:contextualSpacing w:val="0"/>
      </w:pPr>
      <w:r>
        <w:t xml:space="preserve">In 1791 he was answered by Thomas Paine in </w:t>
      </w:r>
      <w:r>
        <w:rPr>
          <w:i/>
        </w:rPr>
        <w:t>Rights of Man</w:t>
      </w:r>
      <w:r>
        <w:t>, which sold 100,000 copies. Paine’s text is a blistering attack on feudal privilege and corruption</w:t>
      </w:r>
      <w:r w:rsidR="00993AE3">
        <w:t>, and is</w:t>
      </w:r>
      <w:r w:rsidR="00DD4A5D">
        <w:t xml:space="preserve"> still relevant today</w:t>
      </w:r>
      <w:r>
        <w:t>. It is a key text for every British socialist.</w:t>
      </w:r>
    </w:p>
    <w:p w14:paraId="6BFFC6EB" w14:textId="27E93549" w:rsidR="009F6704" w:rsidRDefault="00993AE3" w:rsidP="00494770">
      <w:pPr>
        <w:pStyle w:val="ListParagraph"/>
        <w:numPr>
          <w:ilvl w:val="0"/>
          <w:numId w:val="2"/>
        </w:numPr>
        <w:spacing w:before="120" w:line="360" w:lineRule="auto"/>
        <w:ind w:left="851" w:hanging="851"/>
        <w:contextualSpacing w:val="0"/>
      </w:pPr>
      <w:r>
        <w:t>The most important source</w:t>
      </w:r>
      <w:r w:rsidR="00494770">
        <w:t xml:space="preserve"> of English constitutional theory was written by Albert Venn Dicey (1835-1922) in </w:t>
      </w:r>
      <w:r w:rsidR="00494770" w:rsidRPr="00494770">
        <w:t>1885</w:t>
      </w:r>
      <w:r w:rsidR="00494770">
        <w:t xml:space="preserve">, his </w:t>
      </w:r>
      <w:r w:rsidR="00494770" w:rsidRPr="00494770">
        <w:rPr>
          <w:i/>
        </w:rPr>
        <w:t>Introduction to the Study of the Law of the Constitution</w:t>
      </w:r>
      <w:r w:rsidR="00494770" w:rsidRPr="00494770">
        <w:t>.</w:t>
      </w:r>
      <w:r w:rsidR="009F6704">
        <w:t xml:space="preserve"> This continued</w:t>
      </w:r>
      <w:r w:rsidR="006C5BC5">
        <w:t xml:space="preserve"> the attac</w:t>
      </w:r>
      <w:r w:rsidR="009F6704">
        <w:t>k on lists of rights, and argued</w:t>
      </w:r>
      <w:r w:rsidR="006C5BC5">
        <w:t xml:space="preserve"> that basic civil rights – personal liberty, freedom of speech, freedom of assembly – are better protected by English case-law than by French declarations.</w:t>
      </w:r>
      <w:r w:rsidR="00494770" w:rsidRPr="00494770">
        <w:t xml:space="preserve"> </w:t>
      </w:r>
    </w:p>
    <w:p w14:paraId="015A3021" w14:textId="7E56D9F2" w:rsidR="003529F6" w:rsidRDefault="00494770" w:rsidP="00494770">
      <w:pPr>
        <w:pStyle w:val="ListParagraph"/>
        <w:numPr>
          <w:ilvl w:val="0"/>
          <w:numId w:val="2"/>
        </w:numPr>
        <w:spacing w:before="120" w:line="360" w:lineRule="auto"/>
        <w:ind w:left="851" w:hanging="851"/>
        <w:contextualSpacing w:val="0"/>
      </w:pPr>
      <w:r>
        <w:lastRenderedPageBreak/>
        <w:t>Dicey was vehemently</w:t>
      </w:r>
      <w:r w:rsidRPr="00494770">
        <w:t xml:space="preserve"> opposed to Home Rule for Ireland; to trade unions; and to local government – see </w:t>
      </w:r>
      <w:r>
        <w:t xml:space="preserve">his </w:t>
      </w:r>
      <w:r w:rsidRPr="00494770">
        <w:rPr>
          <w:i/>
        </w:rPr>
        <w:t>Lectures on the relation between law and public opinion in England during the nineteenth century</w:t>
      </w:r>
      <w:r w:rsidRPr="00494770">
        <w:t xml:space="preserve"> (1905).</w:t>
      </w:r>
      <w:r w:rsidR="006C5BC5">
        <w:t xml:space="preserve"> </w:t>
      </w:r>
      <w:r w:rsidR="009F6704">
        <w:t xml:space="preserve">He regarded them as two of the most dangerous threats to parliamentary sovereignty. </w:t>
      </w:r>
      <w:r w:rsidR="006C5BC5">
        <w:t>He anticipated and inspired Thatcher’s determination to smash trade unions and local government.</w:t>
      </w:r>
    </w:p>
    <w:p w14:paraId="026FAE24" w14:textId="5488847B" w:rsidR="00DD4A5D" w:rsidRDefault="00F770C6" w:rsidP="00494770">
      <w:pPr>
        <w:pStyle w:val="ListParagraph"/>
        <w:numPr>
          <w:ilvl w:val="0"/>
          <w:numId w:val="2"/>
        </w:numPr>
        <w:spacing w:before="120" w:line="360" w:lineRule="auto"/>
        <w:ind w:left="851" w:hanging="851"/>
        <w:contextualSpacing w:val="0"/>
      </w:pPr>
      <w:r>
        <w:t xml:space="preserve">It follows that for socialists, to defend the HRA and UK membership of the Convention, is to continue Tom Paine’s battle against the old English </w:t>
      </w:r>
      <w:r w:rsidR="000A2DF7">
        <w:t xml:space="preserve">political </w:t>
      </w:r>
      <w:r>
        <w:t>corruption. The symbolic stakes are very high indeed.</w:t>
      </w:r>
    </w:p>
    <w:p w14:paraId="0AA73874" w14:textId="77777777" w:rsidR="00833D2B" w:rsidRDefault="00F770C6" w:rsidP="00494770">
      <w:pPr>
        <w:pStyle w:val="ListParagraph"/>
        <w:numPr>
          <w:ilvl w:val="0"/>
          <w:numId w:val="2"/>
        </w:numPr>
        <w:spacing w:before="120" w:line="360" w:lineRule="auto"/>
        <w:ind w:left="851" w:hanging="851"/>
        <w:contextualSpacing w:val="0"/>
      </w:pPr>
      <w:r>
        <w:t>Furthermore, there are certain respects in which the Convention and the Human Rights Act</w:t>
      </w:r>
      <w:r w:rsidR="003D3E25">
        <w:t xml:space="preserve"> have made a real difference. </w:t>
      </w:r>
    </w:p>
    <w:p w14:paraId="0703CA5E" w14:textId="4527B35B" w:rsidR="00833D2B" w:rsidRDefault="00833D2B" w:rsidP="00494770">
      <w:pPr>
        <w:pStyle w:val="ListParagraph"/>
        <w:numPr>
          <w:ilvl w:val="0"/>
          <w:numId w:val="2"/>
        </w:numPr>
        <w:spacing w:before="120" w:line="360" w:lineRule="auto"/>
        <w:ind w:left="851" w:hanging="851"/>
        <w:contextualSpacing w:val="0"/>
      </w:pPr>
      <w:r>
        <w:t xml:space="preserve">One of the reasons the UK was so reluctant to agree to a Court with obligatory powers, and did not agree to the right of complaint to the Court until 1966, was the fear that cases would concern the UK’s role as a colonial power. </w:t>
      </w:r>
      <w:r w:rsidR="00F26368">
        <w:t>This is exactly what happened.</w:t>
      </w:r>
    </w:p>
    <w:p w14:paraId="39537D12" w14:textId="1F1871FE" w:rsidR="00F26368" w:rsidRDefault="00F26368" w:rsidP="00F26368">
      <w:pPr>
        <w:pStyle w:val="ListParagraph"/>
        <w:numPr>
          <w:ilvl w:val="0"/>
          <w:numId w:val="3"/>
        </w:numPr>
      </w:pPr>
      <w:r w:rsidRPr="00E26B0B">
        <w:rPr>
          <w:i/>
        </w:rPr>
        <w:t>Greece v UK</w:t>
      </w:r>
      <w:r w:rsidRPr="00D23934">
        <w:t xml:space="preserve"> (1956-9), </w:t>
      </w:r>
      <w:r>
        <w:t xml:space="preserve">an inter-state case concerning </w:t>
      </w:r>
      <w:r w:rsidRPr="00D23934">
        <w:t>allegations of tort</w:t>
      </w:r>
      <w:r>
        <w:t>ure by British forces in Cyprus, settled when Britain agreed to the independence of Cyprus</w:t>
      </w:r>
      <w:r w:rsidRPr="00D23934">
        <w:t xml:space="preserve"> </w:t>
      </w:r>
    </w:p>
    <w:p w14:paraId="52F1E33F" w14:textId="77777777" w:rsidR="00F26368" w:rsidRDefault="00F26368" w:rsidP="00F26368">
      <w:pPr>
        <w:pStyle w:val="ListParagraph"/>
        <w:numPr>
          <w:ilvl w:val="0"/>
          <w:numId w:val="3"/>
        </w:numPr>
      </w:pPr>
      <w:r w:rsidRPr="00E26B0B">
        <w:rPr>
          <w:i/>
        </w:rPr>
        <w:t>East African Asians Case</w:t>
      </w:r>
      <w:r w:rsidRPr="00D23934">
        <w:t xml:space="preserve"> (1973), UK discriminated against Asians from East Africa who held British passports, denied them entry; </w:t>
      </w:r>
    </w:p>
    <w:p w14:paraId="24A7BB35" w14:textId="77777777" w:rsidR="00F26368" w:rsidRDefault="00F26368" w:rsidP="00F26368">
      <w:pPr>
        <w:pStyle w:val="ListParagraph"/>
        <w:numPr>
          <w:ilvl w:val="0"/>
          <w:numId w:val="3"/>
        </w:numPr>
      </w:pPr>
      <w:r w:rsidRPr="00E26B0B">
        <w:rPr>
          <w:i/>
        </w:rPr>
        <w:t>Ireland v UK</w:t>
      </w:r>
      <w:r w:rsidRPr="00D23934">
        <w:t xml:space="preserve"> (1977), violations by UK of Article 3 ECHR (torture, inhuman and degrading treatment) at the start of the armed conflict in Northern Ireland 1969-1997</w:t>
      </w:r>
    </w:p>
    <w:p w14:paraId="0A4AECF5" w14:textId="346799DF" w:rsidR="00F770C6" w:rsidRDefault="00FD2E73" w:rsidP="00494770">
      <w:pPr>
        <w:pStyle w:val="ListParagraph"/>
        <w:numPr>
          <w:ilvl w:val="0"/>
          <w:numId w:val="2"/>
        </w:numPr>
        <w:spacing w:before="120" w:line="360" w:lineRule="auto"/>
        <w:ind w:left="851" w:hanging="851"/>
        <w:contextualSpacing w:val="0"/>
      </w:pPr>
      <w:r>
        <w:t>Even though it was not possible to argue Convention rights in UK courts before 2000, and the delay between a violation in the UK and a judgment in Strasbourg</w:t>
      </w:r>
      <w:r w:rsidR="0010388D">
        <w:t xml:space="preserve"> could be ten years</w:t>
      </w:r>
      <w:r>
        <w:t xml:space="preserve">, the Convention did in fact bring about positive changes in UK law. </w:t>
      </w:r>
      <w:r w:rsidR="003D3E25">
        <w:t xml:space="preserve">Before the cases of </w:t>
      </w:r>
      <w:r w:rsidR="003D3E25">
        <w:rPr>
          <w:i/>
        </w:rPr>
        <w:t>Golder</w:t>
      </w:r>
      <w:r w:rsidR="00F26368">
        <w:t xml:space="preserve"> (1975) </w:t>
      </w:r>
      <w:r w:rsidR="003D3E25">
        <w:t xml:space="preserve">and </w:t>
      </w:r>
      <w:r w:rsidR="003D3E25">
        <w:rPr>
          <w:i/>
        </w:rPr>
        <w:t>Silver</w:t>
      </w:r>
      <w:r w:rsidR="003D3E25">
        <w:t xml:space="preserve"> (1983)</w:t>
      </w:r>
      <w:r w:rsidR="00833D2B">
        <w:t xml:space="preserve"> prisoners in the UK had no rights at all. </w:t>
      </w:r>
      <w:r w:rsidR="00F26368">
        <w:t xml:space="preserve">Before </w:t>
      </w:r>
      <w:r w:rsidR="00F26368">
        <w:rPr>
          <w:i/>
        </w:rPr>
        <w:t>Malone</w:t>
      </w:r>
      <w:r w:rsidR="00F26368">
        <w:t xml:space="preserve"> (1984) there was no right to privacy in English law. In </w:t>
      </w:r>
      <w:r w:rsidR="00F26368">
        <w:rPr>
          <w:i/>
        </w:rPr>
        <w:t xml:space="preserve">Dudgeon </w:t>
      </w:r>
      <w:r w:rsidR="00F26368">
        <w:t xml:space="preserve">(1981) the Court condemned criminalisation of homosexuality in Northern Ireland.  </w:t>
      </w:r>
      <w:r w:rsidR="00AD13BA">
        <w:t>The Duke of Westminster lost his complaint under the Labour Gove</w:t>
      </w:r>
      <w:r>
        <w:t>rnment’s Leasehold Reform Act – i</w:t>
      </w:r>
      <w:r w:rsidR="00AD13BA">
        <w:t xml:space="preserve">n </w:t>
      </w:r>
      <w:r w:rsidR="00AD13BA">
        <w:rPr>
          <w:i/>
        </w:rPr>
        <w:t>James</w:t>
      </w:r>
      <w:r w:rsidR="00AD13BA">
        <w:t xml:space="preserve"> (1986) the Court held that social justice trumped the right to property. </w:t>
      </w:r>
    </w:p>
    <w:p w14:paraId="37A438BB" w14:textId="336F5888" w:rsidR="002A4E6F" w:rsidRDefault="0010388D" w:rsidP="00494770">
      <w:pPr>
        <w:pStyle w:val="ListParagraph"/>
        <w:numPr>
          <w:ilvl w:val="0"/>
          <w:numId w:val="2"/>
        </w:numPr>
        <w:spacing w:before="120" w:line="360" w:lineRule="auto"/>
        <w:ind w:left="851" w:hanging="851"/>
        <w:contextualSpacing w:val="0"/>
      </w:pPr>
      <w:r>
        <w:t xml:space="preserve">Since 2000 the Court has condemned the UK for failure to carry out proper investigations into Northern Ireland killings, in </w:t>
      </w:r>
      <w:r>
        <w:rPr>
          <w:i/>
        </w:rPr>
        <w:t>McKerr</w:t>
      </w:r>
      <w:r>
        <w:t xml:space="preserve"> (2001) and </w:t>
      </w:r>
      <w:r>
        <w:rPr>
          <w:i/>
        </w:rPr>
        <w:t>Finucane</w:t>
      </w:r>
      <w:r>
        <w:t xml:space="preserve"> (2003)</w:t>
      </w:r>
      <w:r w:rsidR="006E0C8E">
        <w:t xml:space="preserve">, and for gross violations of human rights during the occupation of Iraq in </w:t>
      </w:r>
      <w:r w:rsidR="006E0C8E">
        <w:rPr>
          <w:i/>
        </w:rPr>
        <w:t>Al-Jedda</w:t>
      </w:r>
      <w:r w:rsidR="006E0C8E">
        <w:t xml:space="preserve"> and </w:t>
      </w:r>
      <w:r w:rsidR="006E0C8E">
        <w:rPr>
          <w:i/>
        </w:rPr>
        <w:t>Al-Skeini</w:t>
      </w:r>
      <w:r w:rsidR="006E0C8E">
        <w:t xml:space="preserve"> (2011). But it failed to find that “kettling” violated the right to </w:t>
      </w:r>
      <w:r w:rsidR="006E0C8E">
        <w:lastRenderedPageBreak/>
        <w:t xml:space="preserve">personal liberty in </w:t>
      </w:r>
      <w:r w:rsidR="006E0C8E">
        <w:rPr>
          <w:i/>
        </w:rPr>
        <w:t>Austin</w:t>
      </w:r>
      <w:r w:rsidR="006E0C8E">
        <w:t xml:space="preserve"> (2012), and upheld the UK government in </w:t>
      </w:r>
      <w:r w:rsidR="006E0C8E">
        <w:rPr>
          <w:i/>
        </w:rPr>
        <w:t>Babar Ahmad</w:t>
      </w:r>
      <w:r w:rsidR="006E0C8E">
        <w:t xml:space="preserve"> (2012) and the </w:t>
      </w:r>
      <w:r w:rsidR="006E0C8E">
        <w:rPr>
          <w:i/>
        </w:rPr>
        <w:t>Chagos Islanders</w:t>
      </w:r>
      <w:r w:rsidR="006E0C8E">
        <w:t xml:space="preserve"> (2012), a case which started in 2004. Indeed, the Court has ruled in favour of the UK in many cases recently.</w:t>
      </w:r>
    </w:p>
    <w:p w14:paraId="526CCFDE" w14:textId="5F8BB733" w:rsidR="006E0C8E" w:rsidRDefault="00626FF4" w:rsidP="00494770">
      <w:pPr>
        <w:pStyle w:val="ListParagraph"/>
        <w:numPr>
          <w:ilvl w:val="0"/>
          <w:numId w:val="2"/>
        </w:numPr>
        <w:spacing w:before="120" w:line="360" w:lineRule="auto"/>
        <w:ind w:left="851" w:hanging="851"/>
        <w:contextualSpacing w:val="0"/>
      </w:pPr>
      <w:r>
        <w:t>Socialists should therefore oppose the repeal of the HRA, and should fight to keep the UK in the Strasbourg human rights protection system. Any Tory Bill of Rights will be a dangerous step backwards.</w:t>
      </w:r>
    </w:p>
    <w:p w14:paraId="758A8E8D" w14:textId="3D92A0B5" w:rsidR="00626FF4" w:rsidRDefault="00626FF4" w:rsidP="000A2DF7">
      <w:pPr>
        <w:pStyle w:val="ListParagraph"/>
        <w:numPr>
          <w:ilvl w:val="0"/>
          <w:numId w:val="2"/>
        </w:numPr>
        <w:spacing w:before="120" w:line="360" w:lineRule="auto"/>
        <w:ind w:left="851" w:hanging="851"/>
        <w:contextualSpacing w:val="0"/>
      </w:pPr>
      <w:r>
        <w:t>But most importantly, socialists must campaign for the UK to</w:t>
      </w:r>
      <w:r w:rsidR="000A2DF7">
        <w:t xml:space="preserve"> move forward, and to</w:t>
      </w:r>
      <w:r>
        <w:t xml:space="preserve"> ratify the Revised</w:t>
      </w:r>
      <w:r w:rsidR="000A2DF7">
        <w:t xml:space="preserve"> Social Charter, which protects the rights to </w:t>
      </w:r>
      <w:r w:rsidR="000A2DF7" w:rsidRPr="000A2DF7">
        <w:t>housing,</w:t>
      </w:r>
      <w:r w:rsidR="000A2DF7">
        <w:t xml:space="preserve"> </w:t>
      </w:r>
      <w:r w:rsidR="000A2DF7" w:rsidRPr="000A2DF7">
        <w:t>health, education</w:t>
      </w:r>
      <w:r w:rsidR="000A2DF7">
        <w:t xml:space="preserve"> (which is only partly protected by the ECHR)</w:t>
      </w:r>
      <w:r w:rsidR="000A2DF7" w:rsidRPr="000A2DF7">
        <w:t>, labour rights, full employment,</w:t>
      </w:r>
      <w:r w:rsidR="000A2DF7">
        <w:t xml:space="preserve"> reduction of working hours, equal pay for equal work, parental leave, social security,</w:t>
      </w:r>
      <w:r w:rsidR="000A2DF7" w:rsidRPr="000A2DF7">
        <w:t xml:space="preserve"> social and legal protection from </w:t>
      </w:r>
      <w:r w:rsidR="000A2DF7">
        <w:t>poverty and social exclusion,</w:t>
      </w:r>
      <w:r w:rsidR="000A2DF7" w:rsidRPr="000A2DF7">
        <w:t xml:space="preserve"> free movement of persons and non-discrimination, also </w:t>
      </w:r>
      <w:r w:rsidR="000A2DF7">
        <w:t>the rights of migrant workers,</w:t>
      </w:r>
      <w:r w:rsidR="000A2DF7" w:rsidRPr="000A2DF7">
        <w:t xml:space="preserve"> and that of the persons with disabilities.</w:t>
      </w:r>
      <w:r w:rsidR="000A2DF7">
        <w:t xml:space="preserve"> Socialists</w:t>
      </w:r>
      <w:bookmarkStart w:id="0" w:name="_GoBack"/>
      <w:bookmarkEnd w:id="0"/>
      <w:r w:rsidR="000A2DF7">
        <w:t xml:space="preserve"> should emphasise that these are collective rights, and that there is a right of collective complaint, by trade unions and others, to the European Committee for Social Rights.</w:t>
      </w:r>
    </w:p>
    <w:sectPr w:rsidR="00626FF4">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E1FFE5" w14:textId="77777777" w:rsidR="00702DB5" w:rsidRDefault="00702DB5" w:rsidP="00F770C6">
      <w:r>
        <w:separator/>
      </w:r>
    </w:p>
  </w:endnote>
  <w:endnote w:type="continuationSeparator" w:id="0">
    <w:p w14:paraId="711C1389" w14:textId="77777777" w:rsidR="00702DB5" w:rsidRDefault="00702DB5" w:rsidP="00F77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C1AF4D" w14:textId="77777777" w:rsidR="00702DB5" w:rsidRDefault="00702DB5" w:rsidP="00F770C6">
      <w:r>
        <w:separator/>
      </w:r>
    </w:p>
  </w:footnote>
  <w:footnote w:type="continuationSeparator" w:id="0">
    <w:p w14:paraId="1E1EF9D0" w14:textId="77777777" w:rsidR="00702DB5" w:rsidRDefault="00702DB5" w:rsidP="00F770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854195"/>
      <w:docPartObj>
        <w:docPartGallery w:val="Page Numbers (Top of Page)"/>
        <w:docPartUnique/>
      </w:docPartObj>
    </w:sdtPr>
    <w:sdtEndPr>
      <w:rPr>
        <w:noProof/>
      </w:rPr>
    </w:sdtEndPr>
    <w:sdtContent>
      <w:p w14:paraId="7C205FB6" w14:textId="301F1B5D" w:rsidR="00F770C6" w:rsidRDefault="00F770C6">
        <w:pPr>
          <w:pStyle w:val="Header"/>
          <w:jc w:val="right"/>
        </w:pPr>
        <w:r>
          <w:fldChar w:fldCharType="begin"/>
        </w:r>
        <w:r>
          <w:instrText xml:space="preserve"> PAGE   \* MERGEFORMAT </w:instrText>
        </w:r>
        <w:r>
          <w:fldChar w:fldCharType="separate"/>
        </w:r>
        <w:r w:rsidR="000A2DF7">
          <w:rPr>
            <w:noProof/>
          </w:rPr>
          <w:t>4</w:t>
        </w:r>
        <w:r>
          <w:rPr>
            <w:noProof/>
          </w:rPr>
          <w:fldChar w:fldCharType="end"/>
        </w:r>
      </w:p>
    </w:sdtContent>
  </w:sdt>
  <w:p w14:paraId="02955A0B" w14:textId="77777777" w:rsidR="00F770C6" w:rsidRDefault="00F770C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A41DFC"/>
    <w:multiLevelType w:val="hybridMultilevel"/>
    <w:tmpl w:val="F0D24F5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3F86E5B"/>
    <w:multiLevelType w:val="hybridMultilevel"/>
    <w:tmpl w:val="EAAEADF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CD83DEE"/>
    <w:multiLevelType w:val="hybridMultilevel"/>
    <w:tmpl w:val="095A15E4"/>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9F6"/>
    <w:rsid w:val="00055AB7"/>
    <w:rsid w:val="000A2DF7"/>
    <w:rsid w:val="0010388D"/>
    <w:rsid w:val="001C3500"/>
    <w:rsid w:val="001D49B2"/>
    <w:rsid w:val="00232DC2"/>
    <w:rsid w:val="002A4E6F"/>
    <w:rsid w:val="003529F6"/>
    <w:rsid w:val="003D3E25"/>
    <w:rsid w:val="00494770"/>
    <w:rsid w:val="0062385B"/>
    <w:rsid w:val="00626FF4"/>
    <w:rsid w:val="00646D26"/>
    <w:rsid w:val="006C5BC5"/>
    <w:rsid w:val="006E0C8E"/>
    <w:rsid w:val="0070220B"/>
    <w:rsid w:val="00702DB5"/>
    <w:rsid w:val="00786A25"/>
    <w:rsid w:val="00833D2B"/>
    <w:rsid w:val="00857AE5"/>
    <w:rsid w:val="00993AE3"/>
    <w:rsid w:val="009F6704"/>
    <w:rsid w:val="00A44435"/>
    <w:rsid w:val="00AD13BA"/>
    <w:rsid w:val="00DD4A5D"/>
    <w:rsid w:val="00EC08FC"/>
    <w:rsid w:val="00F26368"/>
    <w:rsid w:val="00F770C6"/>
    <w:rsid w:val="00FD2E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460D"/>
  <w15:chartTrackingRefBased/>
  <w15:docId w15:val="{AEB6A804-AE15-4056-A181-F952A04E2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29F6"/>
    <w:pPr>
      <w:ind w:left="720"/>
      <w:contextualSpacing/>
    </w:pPr>
  </w:style>
  <w:style w:type="paragraph" w:styleId="Header">
    <w:name w:val="header"/>
    <w:basedOn w:val="Normal"/>
    <w:link w:val="HeaderChar"/>
    <w:uiPriority w:val="99"/>
    <w:unhideWhenUsed/>
    <w:rsid w:val="00F770C6"/>
    <w:pPr>
      <w:tabs>
        <w:tab w:val="center" w:pos="4513"/>
        <w:tab w:val="right" w:pos="9026"/>
      </w:tabs>
    </w:pPr>
  </w:style>
  <w:style w:type="character" w:customStyle="1" w:styleId="HeaderChar">
    <w:name w:val="Header Char"/>
    <w:basedOn w:val="DefaultParagraphFont"/>
    <w:link w:val="Header"/>
    <w:uiPriority w:val="99"/>
    <w:rsid w:val="00F770C6"/>
  </w:style>
  <w:style w:type="paragraph" w:styleId="Footer">
    <w:name w:val="footer"/>
    <w:basedOn w:val="Normal"/>
    <w:link w:val="FooterChar"/>
    <w:uiPriority w:val="99"/>
    <w:unhideWhenUsed/>
    <w:rsid w:val="00F770C6"/>
    <w:pPr>
      <w:tabs>
        <w:tab w:val="center" w:pos="4513"/>
        <w:tab w:val="right" w:pos="9026"/>
      </w:tabs>
    </w:pPr>
  </w:style>
  <w:style w:type="character" w:customStyle="1" w:styleId="FooterChar">
    <w:name w:val="Footer Char"/>
    <w:basedOn w:val="DefaultParagraphFont"/>
    <w:link w:val="Footer"/>
    <w:uiPriority w:val="99"/>
    <w:rsid w:val="00F770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4</Pages>
  <Words>1193</Words>
  <Characters>6801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Bowring</dc:creator>
  <cp:keywords/>
  <dc:description/>
  <cp:lastModifiedBy>Bill Bowring</cp:lastModifiedBy>
  <cp:revision>11</cp:revision>
  <dcterms:created xsi:type="dcterms:W3CDTF">2015-06-01T22:48:00Z</dcterms:created>
  <dcterms:modified xsi:type="dcterms:W3CDTF">2015-06-02T11:27:00Z</dcterms:modified>
</cp:coreProperties>
</file>